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58B5C62C" w:rsidR="00AA1F14" w:rsidRDefault="00AA1F14" w:rsidP="00AA1F14">
      <w:pPr>
        <w:pBdr>
          <w:bottom w:val="single" w:sz="4" w:space="1" w:color="auto"/>
        </w:pBdr>
      </w:pPr>
      <w:r>
        <w:rPr>
          <w:rFonts w:hint="eastAsia"/>
        </w:rPr>
        <w:t>議案名：</w:t>
      </w:r>
      <w:r w:rsidR="004B5E33">
        <w:rPr>
          <w:rFonts w:hint="eastAsia"/>
        </w:rPr>
        <w:t>２月度定例会</w:t>
      </w:r>
    </w:p>
    <w:p w14:paraId="611DBF25" w14:textId="77777777" w:rsidR="00AA1F14" w:rsidRDefault="00AA1F14" w:rsidP="00AA1F14">
      <w:pPr>
        <w:jc w:val="right"/>
      </w:pPr>
    </w:p>
    <w:p w14:paraId="4D3AD52B" w14:textId="5D2DAE9E" w:rsidR="00AA1F14" w:rsidRDefault="00AA1F14" w:rsidP="00AA1F14">
      <w:pPr>
        <w:pBdr>
          <w:bottom w:val="single" w:sz="4" w:space="1" w:color="auto"/>
        </w:pBdr>
        <w:jc w:val="right"/>
      </w:pPr>
      <w:r>
        <w:rPr>
          <w:rFonts w:hint="eastAsia"/>
        </w:rPr>
        <w:t>更新日：</w:t>
      </w:r>
      <w:r w:rsidR="004B5E33">
        <w:rPr>
          <w:rFonts w:hint="eastAsia"/>
        </w:rPr>
        <w:t>２０２２年１１</w:t>
      </w:r>
      <w:r>
        <w:rPr>
          <w:rFonts w:hint="eastAsia"/>
        </w:rPr>
        <w:t>月</w:t>
      </w:r>
      <w:r w:rsidR="004B5E33">
        <w:rPr>
          <w:rFonts w:hint="eastAsia"/>
        </w:rPr>
        <w:t>１４</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64596F">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64596F">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6AF0D618" w:rsidR="00AA1F14" w:rsidRDefault="003A779D">
            <w:pPr>
              <w:rPr>
                <w:rFonts w:hint="eastAsia"/>
              </w:rPr>
            </w:pPr>
            <w:r>
              <w:rPr>
                <w:rFonts w:hint="eastAsia"/>
              </w:rPr>
              <w:t>開催方法が直前まで決まらず、案内を流すのが開催間際になった。</w:t>
            </w:r>
          </w:p>
        </w:tc>
      </w:tr>
      <w:tr w:rsidR="00AA1F14" w14:paraId="5781D854" w14:textId="77777777" w:rsidTr="0064596F">
        <w:tc>
          <w:tcPr>
            <w:tcW w:w="1129" w:type="dxa"/>
          </w:tcPr>
          <w:p w14:paraId="53BE2F22" w14:textId="77777777" w:rsidR="00AA1F14" w:rsidRDefault="00AA1F14">
            <w:r>
              <w:rPr>
                <w:rFonts w:hint="eastAsia"/>
              </w:rPr>
              <w:t>対応１</w:t>
            </w:r>
          </w:p>
        </w:tc>
        <w:tc>
          <w:tcPr>
            <w:tcW w:w="9065" w:type="dxa"/>
          </w:tcPr>
          <w:p w14:paraId="422318F9" w14:textId="080427FE" w:rsidR="00AA1F14" w:rsidRDefault="003A779D">
            <w:pPr>
              <w:rPr>
                <w:rFonts w:hint="eastAsia"/>
              </w:rPr>
            </w:pPr>
            <w:r>
              <w:rPr>
                <w:rFonts w:hint="eastAsia"/>
              </w:rPr>
              <w:t>宣言発令下での開催方法は感染ガイドラインに従い開催する。</w:t>
            </w:r>
          </w:p>
        </w:tc>
      </w:tr>
      <w:tr w:rsidR="00AA1F14" w14:paraId="62805C1D" w14:textId="77777777" w:rsidTr="0064596F">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3C08E4CA" w:rsidR="003A779D" w:rsidRDefault="003A779D">
            <w:pPr>
              <w:rPr>
                <w:rFonts w:hint="eastAsia"/>
              </w:rPr>
            </w:pPr>
            <w:r>
              <w:rPr>
                <w:rFonts w:hint="eastAsia"/>
              </w:rPr>
              <w:t>講演内容を委員会メンバーに事前にもう少し共有すべきだった。</w:t>
            </w:r>
          </w:p>
        </w:tc>
      </w:tr>
      <w:tr w:rsidR="00AA1F14" w14:paraId="5D5A772A" w14:textId="77777777" w:rsidTr="0064596F">
        <w:tc>
          <w:tcPr>
            <w:tcW w:w="1129" w:type="dxa"/>
          </w:tcPr>
          <w:p w14:paraId="715ABEBE" w14:textId="77777777" w:rsidR="00AA1F14" w:rsidRDefault="00AA1F14">
            <w:r>
              <w:rPr>
                <w:rFonts w:hint="eastAsia"/>
              </w:rPr>
              <w:t>対応２</w:t>
            </w:r>
          </w:p>
        </w:tc>
        <w:tc>
          <w:tcPr>
            <w:tcW w:w="9065" w:type="dxa"/>
          </w:tcPr>
          <w:p w14:paraId="415462AE" w14:textId="13F57B74" w:rsidR="00AA1F14" w:rsidRDefault="003A779D">
            <w:pPr>
              <w:rPr>
                <w:rFonts w:hint="eastAsia"/>
              </w:rPr>
            </w:pPr>
            <w:r>
              <w:rPr>
                <w:rFonts w:hint="eastAsia"/>
              </w:rPr>
              <w:t>委員会で事前に講演内容の共有を徹底する。</w:t>
            </w:r>
          </w:p>
        </w:tc>
      </w:tr>
      <w:tr w:rsidR="00AA1F14" w14:paraId="12F89BF2" w14:textId="77777777" w:rsidTr="0064596F">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0753FE93" w:rsidR="00AA1F14" w:rsidRDefault="003A779D">
            <w:r>
              <w:rPr>
                <w:rFonts w:hint="eastAsia"/>
              </w:rPr>
              <w:t>完全Zoomでの開催となり講師への手土産を私に行くのが遅くなってしまった。</w:t>
            </w:r>
          </w:p>
        </w:tc>
      </w:tr>
      <w:tr w:rsidR="00AA1F14" w14:paraId="7342F7F8" w14:textId="77777777" w:rsidTr="0064596F">
        <w:tc>
          <w:tcPr>
            <w:tcW w:w="1129" w:type="dxa"/>
          </w:tcPr>
          <w:p w14:paraId="668350F4" w14:textId="77777777" w:rsidR="00AA1F14" w:rsidRDefault="00AA1F14">
            <w:r>
              <w:rPr>
                <w:rFonts w:hint="eastAsia"/>
              </w:rPr>
              <w:t>対応３</w:t>
            </w:r>
          </w:p>
        </w:tc>
        <w:tc>
          <w:tcPr>
            <w:tcW w:w="9065" w:type="dxa"/>
          </w:tcPr>
          <w:p w14:paraId="56C589C4" w14:textId="640E5E95" w:rsidR="00AA1F14" w:rsidRDefault="003A779D">
            <w:r>
              <w:rPr>
                <w:rFonts w:hint="eastAsia"/>
              </w:rPr>
              <w:t>郵送など、できる限りの早い対応をとる。</w:t>
            </w:r>
          </w:p>
        </w:tc>
      </w:tr>
      <w:tr w:rsidR="00AA1F14" w14:paraId="48E34956" w14:textId="77777777" w:rsidTr="0064596F">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6AA8DE49" w:rsidR="003A779D" w:rsidRDefault="003A779D">
            <w:pPr>
              <w:rPr>
                <w:rFonts w:hint="eastAsia"/>
              </w:rPr>
            </w:pPr>
            <w:r>
              <w:rPr>
                <w:rFonts w:hint="eastAsia"/>
              </w:rPr>
              <w:t>ブレイクアウトルーム設定の設定などでスムーズさを少し欠いた。</w:t>
            </w:r>
          </w:p>
        </w:tc>
      </w:tr>
      <w:tr w:rsidR="00AA1F14" w14:paraId="33DA2262" w14:textId="77777777" w:rsidTr="0064596F">
        <w:tc>
          <w:tcPr>
            <w:tcW w:w="1129" w:type="dxa"/>
          </w:tcPr>
          <w:p w14:paraId="5281478D" w14:textId="77777777" w:rsidR="00AA1F14" w:rsidRDefault="00AA1F14">
            <w:r>
              <w:rPr>
                <w:rFonts w:hint="eastAsia"/>
              </w:rPr>
              <w:t>対応４</w:t>
            </w:r>
          </w:p>
        </w:tc>
        <w:tc>
          <w:tcPr>
            <w:tcW w:w="9065" w:type="dxa"/>
          </w:tcPr>
          <w:p w14:paraId="44A2C7DC" w14:textId="7A45C728" w:rsidR="00AA1F14" w:rsidRDefault="003A779D">
            <w:pPr>
              <w:rPr>
                <w:rFonts w:hint="eastAsia"/>
              </w:rPr>
            </w:pPr>
            <w:r>
              <w:rPr>
                <w:rFonts w:hint="eastAsia"/>
              </w:rPr>
              <w:t>Zoomでの定例会の流れや、各種設定のリハーサルを徹底して、委員会メンバー全員が対応できるように周知する。</w:t>
            </w:r>
          </w:p>
        </w:tc>
      </w:tr>
      <w:tr w:rsidR="00AA1F14" w14:paraId="0FFCA29F" w14:textId="77777777" w:rsidTr="0064596F">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29356B13" w:rsidR="00AA1F14" w:rsidRDefault="003A779D">
            <w:r>
              <w:rPr>
                <w:rFonts w:hint="eastAsia"/>
              </w:rPr>
              <w:t>サブトレーナーなどの同行者の服装やマナーに問題があった。</w:t>
            </w:r>
          </w:p>
        </w:tc>
      </w:tr>
      <w:tr w:rsidR="00AA1F14" w14:paraId="57E192DF" w14:textId="77777777" w:rsidTr="0064596F">
        <w:tc>
          <w:tcPr>
            <w:tcW w:w="1129" w:type="dxa"/>
          </w:tcPr>
          <w:p w14:paraId="69F75792" w14:textId="77777777" w:rsidR="00AA1F14" w:rsidRDefault="00AA1F14">
            <w:r>
              <w:rPr>
                <w:rFonts w:hint="eastAsia"/>
              </w:rPr>
              <w:t>対応５</w:t>
            </w:r>
          </w:p>
        </w:tc>
        <w:tc>
          <w:tcPr>
            <w:tcW w:w="9065" w:type="dxa"/>
          </w:tcPr>
          <w:p w14:paraId="50E76384" w14:textId="0D65CDA8" w:rsidR="00AA1F14" w:rsidRDefault="003A779D">
            <w:r>
              <w:rPr>
                <w:rFonts w:hint="eastAsia"/>
              </w:rPr>
              <w:t>事前連絡により周知を徹底する。</w:t>
            </w:r>
          </w:p>
        </w:tc>
      </w:tr>
      <w:tr w:rsidR="00AA1F14" w14:paraId="527DB5E6" w14:textId="77777777" w:rsidTr="0064596F">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64596F">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5EB41FC0" w:rsidR="00AA1F14" w:rsidRDefault="003A779D">
            <w:pPr>
              <w:rPr>
                <w:rFonts w:hint="eastAsia"/>
              </w:rPr>
            </w:pPr>
            <w:r>
              <w:rPr>
                <w:rFonts w:hint="eastAsia"/>
              </w:rPr>
              <w:t>完全Zoomでの開催になったことにより、浪切ホール</w:t>
            </w:r>
            <w:r w:rsidR="0064596F">
              <w:rPr>
                <w:rFonts w:hint="eastAsia"/>
              </w:rPr>
              <w:t>から返金を受けられなかった。</w:t>
            </w:r>
          </w:p>
        </w:tc>
      </w:tr>
      <w:tr w:rsidR="00AA1F14" w14:paraId="3AC4F9CE" w14:textId="77777777" w:rsidTr="0064596F">
        <w:tc>
          <w:tcPr>
            <w:tcW w:w="1129" w:type="dxa"/>
          </w:tcPr>
          <w:p w14:paraId="370F97DE" w14:textId="77777777" w:rsidR="00AA1F14" w:rsidRDefault="00AA1F14">
            <w:r>
              <w:rPr>
                <w:rFonts w:hint="eastAsia"/>
              </w:rPr>
              <w:t>対応１</w:t>
            </w:r>
          </w:p>
        </w:tc>
        <w:tc>
          <w:tcPr>
            <w:tcW w:w="9065" w:type="dxa"/>
          </w:tcPr>
          <w:p w14:paraId="6C41FE48" w14:textId="49B71219" w:rsidR="00AA1F14" w:rsidRDefault="0064596F">
            <w:r>
              <w:rPr>
                <w:rFonts w:hint="eastAsia"/>
              </w:rPr>
              <w:t>浪切ホールでリハーサルを行う際は、配置確認など短時間でおこなえるようにし、無料でさせてもらえるか確認する。</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4663F" w14:textId="77777777" w:rsidR="006F0BE1" w:rsidRDefault="006F0BE1" w:rsidP="004B5E33">
      <w:r>
        <w:separator/>
      </w:r>
    </w:p>
  </w:endnote>
  <w:endnote w:type="continuationSeparator" w:id="0">
    <w:p w14:paraId="401A7048" w14:textId="77777777" w:rsidR="006F0BE1" w:rsidRDefault="006F0BE1" w:rsidP="004B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B40BC" w14:textId="77777777" w:rsidR="006F0BE1" w:rsidRDefault="006F0BE1" w:rsidP="004B5E33">
      <w:r>
        <w:separator/>
      </w:r>
    </w:p>
  </w:footnote>
  <w:footnote w:type="continuationSeparator" w:id="0">
    <w:p w14:paraId="2DEB9EA1" w14:textId="77777777" w:rsidR="006F0BE1" w:rsidRDefault="006F0BE1" w:rsidP="004B5E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3A779D"/>
    <w:rsid w:val="004B5E33"/>
    <w:rsid w:val="0064596F"/>
    <w:rsid w:val="006F0BE1"/>
    <w:rsid w:val="00842DB1"/>
    <w:rsid w:val="009236F0"/>
    <w:rsid w:val="00AA1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5E33"/>
    <w:pPr>
      <w:tabs>
        <w:tab w:val="center" w:pos="4252"/>
        <w:tab w:val="right" w:pos="8504"/>
      </w:tabs>
      <w:snapToGrid w:val="0"/>
    </w:pPr>
  </w:style>
  <w:style w:type="character" w:customStyle="1" w:styleId="a5">
    <w:name w:val="ヘッダー (文字)"/>
    <w:basedOn w:val="a0"/>
    <w:link w:val="a4"/>
    <w:uiPriority w:val="99"/>
    <w:rsid w:val="004B5E33"/>
  </w:style>
  <w:style w:type="paragraph" w:styleId="a6">
    <w:name w:val="footer"/>
    <w:basedOn w:val="a"/>
    <w:link w:val="a7"/>
    <w:uiPriority w:val="99"/>
    <w:unhideWhenUsed/>
    <w:rsid w:val="004B5E33"/>
    <w:pPr>
      <w:tabs>
        <w:tab w:val="center" w:pos="4252"/>
        <w:tab w:val="right" w:pos="8504"/>
      </w:tabs>
      <w:snapToGrid w:val="0"/>
    </w:pPr>
  </w:style>
  <w:style w:type="character" w:customStyle="1" w:styleId="a7">
    <w:name w:val="フッター (文字)"/>
    <w:basedOn w:val="a0"/>
    <w:link w:val="a6"/>
    <w:uiPriority w:val="99"/>
    <w:rsid w:val="004B5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user</cp:lastModifiedBy>
  <cp:revision>2</cp:revision>
  <dcterms:created xsi:type="dcterms:W3CDTF">2018-09-17T11:23:00Z</dcterms:created>
  <dcterms:modified xsi:type="dcterms:W3CDTF">2022-11-14T12:22:00Z</dcterms:modified>
</cp:coreProperties>
</file>