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8D4F07" w14:textId="77777777" w:rsidR="00AA1F14" w:rsidRDefault="00AA1F14" w:rsidP="00AA1F14">
      <w:pPr>
        <w:pBdr>
          <w:bottom w:val="single" w:sz="4" w:space="1" w:color="auto"/>
        </w:pBdr>
        <w:rPr>
          <w:lang w:eastAsia="zh-TW"/>
        </w:rPr>
      </w:pPr>
      <w:r>
        <w:rPr>
          <w:rFonts w:hint="eastAsia"/>
          <w:lang w:eastAsia="zh-TW"/>
        </w:rPr>
        <w:t>議案名：</w:t>
      </w:r>
    </w:p>
    <w:p w14:paraId="611DBF25" w14:textId="77777777" w:rsidR="00AA1F14" w:rsidRDefault="00AA1F14" w:rsidP="00AA1F14">
      <w:pPr>
        <w:jc w:val="right"/>
        <w:rPr>
          <w:lang w:eastAsia="zh-TW"/>
        </w:rPr>
      </w:pPr>
    </w:p>
    <w:p w14:paraId="4D3AD52B" w14:textId="27EBEA8C" w:rsidR="00AA1F14" w:rsidRDefault="00AA1F14" w:rsidP="00AA1F14">
      <w:pPr>
        <w:pBdr>
          <w:bottom w:val="single" w:sz="4" w:space="1" w:color="auto"/>
        </w:pBdr>
        <w:jc w:val="right"/>
        <w:rPr>
          <w:lang w:eastAsia="zh-TW"/>
        </w:rPr>
      </w:pPr>
      <w:r>
        <w:rPr>
          <w:rFonts w:hint="eastAsia"/>
          <w:lang w:eastAsia="zh-TW"/>
        </w:rPr>
        <w:t>更新日：</w:t>
      </w:r>
      <w:r w:rsidR="00465712">
        <w:rPr>
          <w:rFonts w:hint="eastAsia"/>
        </w:rPr>
        <w:t>８</w:t>
      </w:r>
      <w:r>
        <w:rPr>
          <w:rFonts w:hint="eastAsia"/>
          <w:lang w:eastAsia="zh-TW"/>
        </w:rPr>
        <w:t>月</w:t>
      </w:r>
      <w:r w:rsidR="00465712">
        <w:rPr>
          <w:rFonts w:hint="eastAsia"/>
        </w:rPr>
        <w:t>２</w:t>
      </w:r>
      <w:r>
        <w:rPr>
          <w:rFonts w:hint="eastAsia"/>
          <w:lang w:eastAsia="zh-TW"/>
        </w:rPr>
        <w:t>日</w:t>
      </w:r>
    </w:p>
    <w:p w14:paraId="6510AD95" w14:textId="77777777" w:rsidR="00AA1F14" w:rsidRDefault="00AA1F14" w:rsidP="00AA1F14">
      <w:pPr>
        <w:jc w:val="right"/>
        <w:rPr>
          <w:lang w:eastAsia="zh-TW"/>
        </w:rPr>
      </w:pPr>
    </w:p>
    <w:p w14:paraId="4BE01A99" w14:textId="77777777" w:rsidR="00AA1F14" w:rsidRDefault="00AA1F14" w:rsidP="00AA1F14">
      <w:pPr>
        <w:jc w:val="center"/>
      </w:pPr>
      <w:r>
        <w:rPr>
          <w:rFonts w:hint="eastAsia"/>
        </w:rPr>
        <w:t>前年度からの引継事項</w:t>
      </w:r>
    </w:p>
    <w:tbl>
      <w:tblPr>
        <w:tblStyle w:val="a3"/>
        <w:tblW w:w="0" w:type="auto"/>
        <w:tblLook w:val="04A0" w:firstRow="1" w:lastRow="0" w:firstColumn="1" w:lastColumn="0" w:noHBand="0" w:noVBand="1"/>
      </w:tblPr>
      <w:tblGrid>
        <w:gridCol w:w="1129"/>
        <w:gridCol w:w="9065"/>
      </w:tblGrid>
      <w:tr w:rsidR="00AA1F14" w14:paraId="34F77CF3" w14:textId="77777777" w:rsidTr="003E3AD8">
        <w:tc>
          <w:tcPr>
            <w:tcW w:w="10194" w:type="dxa"/>
            <w:gridSpan w:val="2"/>
            <w:shd w:val="clear" w:color="auto" w:fill="DEEAF6" w:themeFill="accent5" w:themeFillTint="33"/>
          </w:tcPr>
          <w:p w14:paraId="6F6947E1" w14:textId="77777777" w:rsidR="00AA1F14" w:rsidRDefault="00AA1F14">
            <w:r>
              <w:rPr>
                <w:rFonts w:hint="eastAsia"/>
              </w:rPr>
              <w:t>【運営面での引継ぎ事項】</w:t>
            </w:r>
          </w:p>
        </w:tc>
      </w:tr>
      <w:tr w:rsidR="00AA1F14" w14:paraId="5C5F6BFA" w14:textId="77777777" w:rsidTr="003E3AD8">
        <w:tc>
          <w:tcPr>
            <w:tcW w:w="1129" w:type="dxa"/>
            <w:shd w:val="clear" w:color="auto" w:fill="DEEAF6" w:themeFill="accent5" w:themeFillTint="33"/>
          </w:tcPr>
          <w:p w14:paraId="158133A6" w14:textId="3785599F" w:rsidR="00AA1F14" w:rsidRDefault="00AA1F14">
            <w:r>
              <w:rPr>
                <w:rFonts w:hint="eastAsia"/>
              </w:rPr>
              <w:t>事項</w:t>
            </w:r>
            <w:r w:rsidR="00BD2725">
              <w:rPr>
                <w:rFonts w:hint="eastAsia"/>
              </w:rPr>
              <w:t>1</w:t>
            </w:r>
          </w:p>
        </w:tc>
        <w:tc>
          <w:tcPr>
            <w:tcW w:w="9065" w:type="dxa"/>
            <w:shd w:val="clear" w:color="auto" w:fill="DEEAF6" w:themeFill="accent5" w:themeFillTint="33"/>
          </w:tcPr>
          <w:p w14:paraId="18A711B8" w14:textId="1A155F4F" w:rsidR="00AA1F14" w:rsidRDefault="00602654">
            <w:r>
              <w:t>理事長の登壇の頻度や登壇に要する時間等を考慮し、ゴングや演壇の近くに理事長用の椅子を 設けるなどしつつ理事長の待機・登壇が自然で威厳を失わずに見える方法を検討してください。</w:t>
            </w:r>
          </w:p>
        </w:tc>
      </w:tr>
      <w:tr w:rsidR="00AA1F14" w14:paraId="5781D854" w14:textId="77777777" w:rsidTr="003E3AD8">
        <w:tc>
          <w:tcPr>
            <w:tcW w:w="1129" w:type="dxa"/>
          </w:tcPr>
          <w:p w14:paraId="53BE2F22" w14:textId="596A4CAE" w:rsidR="00AA1F14" w:rsidRDefault="00AA1F14">
            <w:r>
              <w:rPr>
                <w:rFonts w:hint="eastAsia"/>
              </w:rPr>
              <w:t>対応</w:t>
            </w:r>
            <w:r w:rsidR="00BD2725">
              <w:rPr>
                <w:rFonts w:hint="eastAsia"/>
              </w:rPr>
              <w:t>1</w:t>
            </w:r>
          </w:p>
        </w:tc>
        <w:tc>
          <w:tcPr>
            <w:tcW w:w="9065" w:type="dxa"/>
          </w:tcPr>
          <w:p w14:paraId="422318F9" w14:textId="26F43DB4" w:rsidR="00AA1F14" w:rsidRDefault="00CD2289">
            <w:r>
              <w:rPr>
                <w:rFonts w:hint="eastAsia"/>
              </w:rPr>
              <w:t>本年度はグランドホールにて開催するので理事長の席をゴングから近い所にします。</w:t>
            </w:r>
          </w:p>
        </w:tc>
      </w:tr>
      <w:tr w:rsidR="00AA1F14" w14:paraId="62805C1D" w14:textId="77777777" w:rsidTr="003E3AD8">
        <w:tc>
          <w:tcPr>
            <w:tcW w:w="1129" w:type="dxa"/>
            <w:shd w:val="clear" w:color="auto" w:fill="DEEAF6" w:themeFill="accent5" w:themeFillTint="33"/>
          </w:tcPr>
          <w:p w14:paraId="2B55007C" w14:textId="2103F421" w:rsidR="00AA1F14" w:rsidRDefault="00AA1F14">
            <w:r>
              <w:rPr>
                <w:rFonts w:hint="eastAsia"/>
              </w:rPr>
              <w:t>事項</w:t>
            </w:r>
            <w:r w:rsidR="00BD2725">
              <w:rPr>
                <w:rFonts w:hint="eastAsia"/>
              </w:rPr>
              <w:t>2</w:t>
            </w:r>
          </w:p>
        </w:tc>
        <w:tc>
          <w:tcPr>
            <w:tcW w:w="9065" w:type="dxa"/>
            <w:shd w:val="clear" w:color="auto" w:fill="DEEAF6" w:themeFill="accent5" w:themeFillTint="33"/>
          </w:tcPr>
          <w:p w14:paraId="77005316" w14:textId="64A01FA0" w:rsidR="00AA1F14" w:rsidRDefault="00602654">
            <w:r>
              <w:t>卒業生がより多い人数になるときは、より広い会場に変更することも検討してください。</w:t>
            </w:r>
          </w:p>
        </w:tc>
      </w:tr>
      <w:tr w:rsidR="00AA1F14" w14:paraId="5D5A772A" w14:textId="77777777" w:rsidTr="003E3AD8">
        <w:tc>
          <w:tcPr>
            <w:tcW w:w="1129" w:type="dxa"/>
          </w:tcPr>
          <w:p w14:paraId="715ABEBE" w14:textId="77771005" w:rsidR="00AA1F14" w:rsidRDefault="00AA1F14">
            <w:r>
              <w:rPr>
                <w:rFonts w:hint="eastAsia"/>
              </w:rPr>
              <w:t>対応</w:t>
            </w:r>
            <w:r w:rsidR="00BD2725">
              <w:rPr>
                <w:rFonts w:hint="eastAsia"/>
              </w:rPr>
              <w:t>2</w:t>
            </w:r>
          </w:p>
        </w:tc>
        <w:tc>
          <w:tcPr>
            <w:tcW w:w="9065" w:type="dxa"/>
          </w:tcPr>
          <w:p w14:paraId="415462AE" w14:textId="3462592C" w:rsidR="00AA1F14" w:rsidRDefault="00CD2289">
            <w:r>
              <w:rPr>
                <w:rFonts w:hint="eastAsia"/>
              </w:rPr>
              <w:t>本年度はグランドホールを使用します。</w:t>
            </w:r>
          </w:p>
        </w:tc>
      </w:tr>
      <w:tr w:rsidR="00AA1F14" w14:paraId="12F89BF2" w14:textId="77777777" w:rsidTr="003E3AD8">
        <w:tc>
          <w:tcPr>
            <w:tcW w:w="1129" w:type="dxa"/>
            <w:shd w:val="clear" w:color="auto" w:fill="DEEAF6" w:themeFill="accent5" w:themeFillTint="33"/>
          </w:tcPr>
          <w:p w14:paraId="729A6ACF" w14:textId="1E4AB0CF" w:rsidR="00AA1F14" w:rsidRDefault="00AA1F14">
            <w:r>
              <w:rPr>
                <w:rFonts w:hint="eastAsia"/>
              </w:rPr>
              <w:t>事項</w:t>
            </w:r>
            <w:r w:rsidR="00BD2725">
              <w:rPr>
                <w:rFonts w:hint="eastAsia"/>
              </w:rPr>
              <w:t>3</w:t>
            </w:r>
          </w:p>
        </w:tc>
        <w:tc>
          <w:tcPr>
            <w:tcW w:w="9065" w:type="dxa"/>
            <w:shd w:val="clear" w:color="auto" w:fill="DEEAF6" w:themeFill="accent5" w:themeFillTint="33"/>
          </w:tcPr>
          <w:p w14:paraId="29007E43" w14:textId="13437F98" w:rsidR="00AA1F14" w:rsidRDefault="00602654">
            <w:r>
              <w:t>そもそも事業構築段階ではパワポは不要との意見があったこと、またパワポの作成に時間と労 力が割かれるという問題を回避するという理由から、今年度は経歴紹介を口頭のみで行ったが、 実際にしてみて、パワポで経歴を表示させることを求める向きもあったので、改めて、委員会 内で経歴紹介のパワポを作成することの要否等を検討するようにしてください。</w:t>
            </w:r>
          </w:p>
        </w:tc>
      </w:tr>
      <w:tr w:rsidR="00AA1F14" w14:paraId="7342F7F8" w14:textId="77777777" w:rsidTr="003E3AD8">
        <w:tc>
          <w:tcPr>
            <w:tcW w:w="1129" w:type="dxa"/>
          </w:tcPr>
          <w:p w14:paraId="668350F4" w14:textId="34AD5DDB" w:rsidR="00AA1F14" w:rsidRDefault="00AA1F14">
            <w:r>
              <w:rPr>
                <w:rFonts w:hint="eastAsia"/>
              </w:rPr>
              <w:t>対応</w:t>
            </w:r>
            <w:r w:rsidR="00BD2725">
              <w:rPr>
                <w:rFonts w:hint="eastAsia"/>
              </w:rPr>
              <w:t>3</w:t>
            </w:r>
          </w:p>
        </w:tc>
        <w:tc>
          <w:tcPr>
            <w:tcW w:w="9065" w:type="dxa"/>
          </w:tcPr>
          <w:p w14:paraId="56C589C4" w14:textId="519E4B3C" w:rsidR="00AA1F14" w:rsidRDefault="00CD2289">
            <w:r>
              <w:rPr>
                <w:rFonts w:hint="eastAsia"/>
              </w:rPr>
              <w:t>委員会で協議しパワポを作成します。</w:t>
            </w:r>
          </w:p>
        </w:tc>
      </w:tr>
      <w:tr w:rsidR="00AA1F14" w14:paraId="48E34956" w14:textId="77777777" w:rsidTr="003E3AD8">
        <w:tc>
          <w:tcPr>
            <w:tcW w:w="1129" w:type="dxa"/>
            <w:shd w:val="clear" w:color="auto" w:fill="DEEAF6" w:themeFill="accent5" w:themeFillTint="33"/>
          </w:tcPr>
          <w:p w14:paraId="6B2FE824" w14:textId="7DA8AC90" w:rsidR="00AA1F14" w:rsidRDefault="00AA1F14">
            <w:r>
              <w:rPr>
                <w:rFonts w:hint="eastAsia"/>
              </w:rPr>
              <w:t>事項</w:t>
            </w:r>
            <w:r w:rsidR="00BD2725">
              <w:rPr>
                <w:rFonts w:hint="eastAsia"/>
              </w:rPr>
              <w:t>4</w:t>
            </w:r>
          </w:p>
        </w:tc>
        <w:tc>
          <w:tcPr>
            <w:tcW w:w="9065" w:type="dxa"/>
            <w:shd w:val="clear" w:color="auto" w:fill="DEEAF6" w:themeFill="accent5" w:themeFillTint="33"/>
          </w:tcPr>
          <w:p w14:paraId="27E9A172" w14:textId="75C774BF" w:rsidR="00AA1F14" w:rsidRDefault="00602654">
            <w:r>
              <w:t>リハーサルを繰り返してできるだけ正確に時間配分するようにしてください。</w:t>
            </w:r>
          </w:p>
        </w:tc>
      </w:tr>
      <w:tr w:rsidR="00AA1F14" w14:paraId="33DA2262" w14:textId="77777777" w:rsidTr="003E3AD8">
        <w:tc>
          <w:tcPr>
            <w:tcW w:w="1129" w:type="dxa"/>
          </w:tcPr>
          <w:p w14:paraId="5281478D" w14:textId="76296289" w:rsidR="00AA1F14" w:rsidRDefault="00AA1F14">
            <w:r>
              <w:rPr>
                <w:rFonts w:hint="eastAsia"/>
              </w:rPr>
              <w:t>対応</w:t>
            </w:r>
            <w:r w:rsidR="00BD2725">
              <w:rPr>
                <w:rFonts w:hint="eastAsia"/>
              </w:rPr>
              <w:t>4</w:t>
            </w:r>
          </w:p>
        </w:tc>
        <w:tc>
          <w:tcPr>
            <w:tcW w:w="9065" w:type="dxa"/>
          </w:tcPr>
          <w:p w14:paraId="44A2C7DC" w14:textId="6A15C77F" w:rsidR="00AA1F14" w:rsidRDefault="00CD2289">
            <w:r>
              <w:rPr>
                <w:rFonts w:hint="eastAsia"/>
              </w:rPr>
              <w:t>事前に会場にてリハーサルを行います。</w:t>
            </w:r>
          </w:p>
        </w:tc>
      </w:tr>
      <w:tr w:rsidR="00AA1F14" w14:paraId="0FFCA29F" w14:textId="77777777" w:rsidTr="003E3AD8">
        <w:tc>
          <w:tcPr>
            <w:tcW w:w="1129" w:type="dxa"/>
            <w:shd w:val="clear" w:color="auto" w:fill="DEEAF6" w:themeFill="accent5" w:themeFillTint="33"/>
          </w:tcPr>
          <w:p w14:paraId="5265CCD0" w14:textId="618D0746" w:rsidR="00AA1F14" w:rsidRDefault="00AA1F14">
            <w:r>
              <w:rPr>
                <w:rFonts w:hint="eastAsia"/>
              </w:rPr>
              <w:t>事項</w:t>
            </w:r>
            <w:r w:rsidR="00BD2725">
              <w:rPr>
                <w:rFonts w:hint="eastAsia"/>
              </w:rPr>
              <w:t>5</w:t>
            </w:r>
          </w:p>
        </w:tc>
        <w:tc>
          <w:tcPr>
            <w:tcW w:w="9065" w:type="dxa"/>
            <w:shd w:val="clear" w:color="auto" w:fill="DEEAF6" w:themeFill="accent5" w:themeFillTint="33"/>
          </w:tcPr>
          <w:p w14:paraId="266F1EC8" w14:textId="581E8E44" w:rsidR="00AA1F14" w:rsidRDefault="00602654">
            <w:r>
              <w:t>当日よりも前から準備を入念に行うようにしてください。</w:t>
            </w:r>
          </w:p>
        </w:tc>
      </w:tr>
      <w:tr w:rsidR="00AA1F14" w14:paraId="57E192DF" w14:textId="77777777" w:rsidTr="003E3AD8">
        <w:tc>
          <w:tcPr>
            <w:tcW w:w="1129" w:type="dxa"/>
          </w:tcPr>
          <w:p w14:paraId="69F75792" w14:textId="0202AD4B" w:rsidR="00AA1F14" w:rsidRDefault="00AA1F14">
            <w:r>
              <w:rPr>
                <w:rFonts w:hint="eastAsia"/>
              </w:rPr>
              <w:t>対応</w:t>
            </w:r>
            <w:r w:rsidR="00BD2725">
              <w:rPr>
                <w:rFonts w:hint="eastAsia"/>
              </w:rPr>
              <w:t>5</w:t>
            </w:r>
          </w:p>
        </w:tc>
        <w:tc>
          <w:tcPr>
            <w:tcW w:w="9065" w:type="dxa"/>
          </w:tcPr>
          <w:p w14:paraId="50E76384" w14:textId="027E4D2F" w:rsidR="00AA1F14" w:rsidRDefault="00CD2289">
            <w:r>
              <w:rPr>
                <w:rFonts w:hint="eastAsia"/>
              </w:rPr>
              <w:t>早めに尚且つ入念に準備します。</w:t>
            </w:r>
          </w:p>
        </w:tc>
      </w:tr>
      <w:tr w:rsidR="00602654" w14:paraId="6FD74FB2" w14:textId="77777777" w:rsidTr="003E3AD8">
        <w:tc>
          <w:tcPr>
            <w:tcW w:w="1129" w:type="dxa"/>
            <w:shd w:val="clear" w:color="auto" w:fill="DEEAF6" w:themeFill="accent5" w:themeFillTint="33"/>
          </w:tcPr>
          <w:p w14:paraId="702C8D6C" w14:textId="05A3B9DE" w:rsidR="00602654" w:rsidRDefault="00602654" w:rsidP="00462D0A">
            <w:r>
              <w:rPr>
                <w:rFonts w:hint="eastAsia"/>
              </w:rPr>
              <w:t>事項6</w:t>
            </w:r>
          </w:p>
        </w:tc>
        <w:tc>
          <w:tcPr>
            <w:tcW w:w="9065" w:type="dxa"/>
            <w:shd w:val="clear" w:color="auto" w:fill="DEEAF6" w:themeFill="accent5" w:themeFillTint="33"/>
          </w:tcPr>
          <w:p w14:paraId="783A4E35" w14:textId="46A14940" w:rsidR="00602654" w:rsidRDefault="00602654" w:rsidP="00462D0A">
            <w:r>
              <w:t>花束については、送り主や名宛人が見えやすくなるような並べ方をしてください。</w:t>
            </w:r>
          </w:p>
        </w:tc>
      </w:tr>
      <w:tr w:rsidR="00602654" w14:paraId="6FB7C8F3" w14:textId="77777777" w:rsidTr="003E3AD8">
        <w:tc>
          <w:tcPr>
            <w:tcW w:w="1129" w:type="dxa"/>
          </w:tcPr>
          <w:p w14:paraId="32195707" w14:textId="67B44D4C" w:rsidR="00602654" w:rsidRDefault="00602654" w:rsidP="00462D0A">
            <w:r>
              <w:rPr>
                <w:rFonts w:hint="eastAsia"/>
              </w:rPr>
              <w:t>対応6</w:t>
            </w:r>
          </w:p>
        </w:tc>
        <w:tc>
          <w:tcPr>
            <w:tcW w:w="9065" w:type="dxa"/>
          </w:tcPr>
          <w:p w14:paraId="112C68A9" w14:textId="47A76F3F" w:rsidR="00602654" w:rsidRDefault="00CD2289" w:rsidP="00462D0A">
            <w:r>
              <w:rPr>
                <w:rFonts w:hint="eastAsia"/>
              </w:rPr>
              <w:t>事前に会場にて置き方などを相談し当日わかりやすいようにします。</w:t>
            </w:r>
          </w:p>
        </w:tc>
      </w:tr>
      <w:tr w:rsidR="00602654" w14:paraId="0FA59DE3" w14:textId="77777777" w:rsidTr="003E3AD8">
        <w:tc>
          <w:tcPr>
            <w:tcW w:w="1129" w:type="dxa"/>
            <w:shd w:val="clear" w:color="auto" w:fill="DEEAF6" w:themeFill="accent5" w:themeFillTint="33"/>
          </w:tcPr>
          <w:p w14:paraId="78A4FCE6" w14:textId="08CCB0DD" w:rsidR="00602654" w:rsidRDefault="00602654" w:rsidP="00462D0A">
            <w:r>
              <w:rPr>
                <w:rFonts w:hint="eastAsia"/>
              </w:rPr>
              <w:t>事項7</w:t>
            </w:r>
          </w:p>
        </w:tc>
        <w:tc>
          <w:tcPr>
            <w:tcW w:w="9065" w:type="dxa"/>
            <w:shd w:val="clear" w:color="auto" w:fill="DEEAF6" w:themeFill="accent5" w:themeFillTint="33"/>
          </w:tcPr>
          <w:p w14:paraId="6C86EFAC" w14:textId="72CA08FF" w:rsidR="00602654" w:rsidRDefault="00602654" w:rsidP="00462D0A">
            <w:r>
              <w:t>審議可決後にシニア等（役員会・幹事）に連絡することも事業計画に組み込んでください。</w:t>
            </w:r>
          </w:p>
        </w:tc>
      </w:tr>
      <w:tr w:rsidR="00602654" w14:paraId="1782B149" w14:textId="77777777" w:rsidTr="003E3AD8">
        <w:tc>
          <w:tcPr>
            <w:tcW w:w="1129" w:type="dxa"/>
          </w:tcPr>
          <w:p w14:paraId="5FA6BF71" w14:textId="685816C4" w:rsidR="00602654" w:rsidRDefault="00602654" w:rsidP="00462D0A">
            <w:r>
              <w:rPr>
                <w:rFonts w:hint="eastAsia"/>
              </w:rPr>
              <w:t>対応7</w:t>
            </w:r>
          </w:p>
        </w:tc>
        <w:tc>
          <w:tcPr>
            <w:tcW w:w="9065" w:type="dxa"/>
          </w:tcPr>
          <w:p w14:paraId="1B0B31D0" w14:textId="53D3B819" w:rsidR="00602654" w:rsidRDefault="00CD2289" w:rsidP="00462D0A">
            <w:r>
              <w:rPr>
                <w:rFonts w:hint="eastAsia"/>
              </w:rPr>
              <w:t>審議可決次第早急に連絡を回します。</w:t>
            </w:r>
          </w:p>
        </w:tc>
      </w:tr>
      <w:tr w:rsidR="00602654" w14:paraId="11BA45B0" w14:textId="77777777" w:rsidTr="003E3AD8">
        <w:tc>
          <w:tcPr>
            <w:tcW w:w="1129" w:type="dxa"/>
            <w:shd w:val="clear" w:color="auto" w:fill="DEEAF6" w:themeFill="accent5" w:themeFillTint="33"/>
          </w:tcPr>
          <w:p w14:paraId="5115476A" w14:textId="66B6AFCF" w:rsidR="00602654" w:rsidRDefault="00602654" w:rsidP="00462D0A">
            <w:r>
              <w:rPr>
                <w:rFonts w:hint="eastAsia"/>
              </w:rPr>
              <w:t>事項8</w:t>
            </w:r>
          </w:p>
        </w:tc>
        <w:tc>
          <w:tcPr>
            <w:tcW w:w="9065" w:type="dxa"/>
            <w:shd w:val="clear" w:color="auto" w:fill="DEEAF6" w:themeFill="accent5" w:themeFillTint="33"/>
          </w:tcPr>
          <w:p w14:paraId="38618F11" w14:textId="2CF48536" w:rsidR="00602654" w:rsidRDefault="00602654" w:rsidP="00462D0A">
            <w:r>
              <w:t>例年事務局に参列いただいているので、計画段階から事務局に参列いただくように声掛けする とともに、会場費の見積もりをとる場合も事務局の数を含めてとるようにしてください（なお、 事務局の費用は、事務局からは徴収しないようにしてください。）。</w:t>
            </w:r>
          </w:p>
        </w:tc>
      </w:tr>
      <w:tr w:rsidR="00602654" w14:paraId="7FBF445C" w14:textId="77777777" w:rsidTr="003E3AD8">
        <w:tc>
          <w:tcPr>
            <w:tcW w:w="1129" w:type="dxa"/>
          </w:tcPr>
          <w:p w14:paraId="3210217E" w14:textId="0A8242A1" w:rsidR="00602654" w:rsidRDefault="00602654" w:rsidP="00462D0A">
            <w:r>
              <w:rPr>
                <w:rFonts w:hint="eastAsia"/>
              </w:rPr>
              <w:t>対応8</w:t>
            </w:r>
          </w:p>
        </w:tc>
        <w:tc>
          <w:tcPr>
            <w:tcW w:w="9065" w:type="dxa"/>
          </w:tcPr>
          <w:p w14:paraId="2FE1AD3A" w14:textId="5FCB2354" w:rsidR="00602654" w:rsidRDefault="00CD2289" w:rsidP="00462D0A">
            <w:r>
              <w:rPr>
                <w:rFonts w:hint="eastAsia"/>
              </w:rPr>
              <w:t>事前に声をかけておきます。</w:t>
            </w:r>
          </w:p>
        </w:tc>
      </w:tr>
      <w:tr w:rsidR="00602654" w14:paraId="703D021D" w14:textId="77777777" w:rsidTr="003E3AD8">
        <w:tc>
          <w:tcPr>
            <w:tcW w:w="1129" w:type="dxa"/>
            <w:shd w:val="clear" w:color="auto" w:fill="DEEAF6" w:themeFill="accent5" w:themeFillTint="33"/>
          </w:tcPr>
          <w:p w14:paraId="1F05093B" w14:textId="47484328" w:rsidR="00602654" w:rsidRDefault="00602654" w:rsidP="00462D0A">
            <w:r>
              <w:rPr>
                <w:rFonts w:hint="eastAsia"/>
              </w:rPr>
              <w:t>事項9</w:t>
            </w:r>
          </w:p>
        </w:tc>
        <w:tc>
          <w:tcPr>
            <w:tcW w:w="9065" w:type="dxa"/>
            <w:shd w:val="clear" w:color="auto" w:fill="DEEAF6" w:themeFill="accent5" w:themeFillTint="33"/>
          </w:tcPr>
          <w:p w14:paraId="1F3FDE39" w14:textId="278285C2" w:rsidR="00602654" w:rsidRDefault="00602654" w:rsidP="00462D0A">
            <w:r>
              <w:t>杉江能楽堂を利用する場合は、白足袋が必要になるので、次年度も杉江能楽堂を利用するので あれば、白足袋の費用を予算計上することも検討してください。</w:t>
            </w:r>
          </w:p>
        </w:tc>
      </w:tr>
      <w:tr w:rsidR="00602654" w14:paraId="45F80189" w14:textId="77777777" w:rsidTr="003E3AD8">
        <w:tc>
          <w:tcPr>
            <w:tcW w:w="1129" w:type="dxa"/>
          </w:tcPr>
          <w:p w14:paraId="6F870D14" w14:textId="046AB7FB" w:rsidR="00602654" w:rsidRDefault="00602654" w:rsidP="00462D0A">
            <w:r>
              <w:rPr>
                <w:rFonts w:hint="eastAsia"/>
              </w:rPr>
              <w:t>対応9</w:t>
            </w:r>
          </w:p>
        </w:tc>
        <w:tc>
          <w:tcPr>
            <w:tcW w:w="9065" w:type="dxa"/>
          </w:tcPr>
          <w:p w14:paraId="2B0DA823" w14:textId="7B17A40D" w:rsidR="00602654" w:rsidRDefault="00CD2289" w:rsidP="00462D0A">
            <w:r>
              <w:rPr>
                <w:rFonts w:hint="eastAsia"/>
              </w:rPr>
              <w:t>本年度はグランドホールを使用します。</w:t>
            </w:r>
          </w:p>
        </w:tc>
      </w:tr>
      <w:tr w:rsidR="00AA1F14" w14:paraId="527DB5E6" w14:textId="77777777" w:rsidTr="003E3AD8">
        <w:tc>
          <w:tcPr>
            <w:tcW w:w="10194" w:type="dxa"/>
            <w:gridSpan w:val="2"/>
            <w:shd w:val="clear" w:color="auto" w:fill="E2EFD9" w:themeFill="accent6" w:themeFillTint="33"/>
          </w:tcPr>
          <w:p w14:paraId="03CC5FA4" w14:textId="77777777" w:rsidR="00AA1F14" w:rsidRDefault="00AA1F14">
            <w:r>
              <w:rPr>
                <w:rFonts w:hint="eastAsia"/>
              </w:rPr>
              <w:t>【運動面での引継ぎ事項】</w:t>
            </w:r>
          </w:p>
        </w:tc>
      </w:tr>
      <w:tr w:rsidR="00AA1F14" w14:paraId="72D6D754" w14:textId="77777777" w:rsidTr="003E3AD8">
        <w:tc>
          <w:tcPr>
            <w:tcW w:w="1129" w:type="dxa"/>
            <w:shd w:val="clear" w:color="auto" w:fill="E2EFD9" w:themeFill="accent6" w:themeFillTint="33"/>
          </w:tcPr>
          <w:p w14:paraId="3BB80F8C" w14:textId="214D8FE2" w:rsidR="00AA1F14" w:rsidRDefault="00AA1F14">
            <w:r>
              <w:rPr>
                <w:rFonts w:hint="eastAsia"/>
              </w:rPr>
              <w:t>事項</w:t>
            </w:r>
            <w:r w:rsidR="00BD2725">
              <w:rPr>
                <w:rFonts w:hint="eastAsia"/>
              </w:rPr>
              <w:t>1</w:t>
            </w:r>
          </w:p>
        </w:tc>
        <w:tc>
          <w:tcPr>
            <w:tcW w:w="9065" w:type="dxa"/>
            <w:shd w:val="clear" w:color="auto" w:fill="E2EFD9" w:themeFill="accent6" w:themeFillTint="33"/>
          </w:tcPr>
          <w:p w14:paraId="1F394348" w14:textId="77777777" w:rsidR="00AA1F14" w:rsidRDefault="00AA1F14"/>
        </w:tc>
      </w:tr>
      <w:tr w:rsidR="00AA1F14" w14:paraId="3AC4F9CE" w14:textId="77777777" w:rsidTr="003E3AD8">
        <w:tc>
          <w:tcPr>
            <w:tcW w:w="1129" w:type="dxa"/>
          </w:tcPr>
          <w:p w14:paraId="370F97DE" w14:textId="016D2C84" w:rsidR="00AA1F14" w:rsidRDefault="00AA1F14">
            <w:r>
              <w:rPr>
                <w:rFonts w:hint="eastAsia"/>
              </w:rPr>
              <w:t>対応</w:t>
            </w:r>
            <w:r w:rsidR="00BD2725">
              <w:rPr>
                <w:rFonts w:hint="eastAsia"/>
              </w:rPr>
              <w:t>1</w:t>
            </w:r>
          </w:p>
        </w:tc>
        <w:tc>
          <w:tcPr>
            <w:tcW w:w="9065" w:type="dxa"/>
          </w:tcPr>
          <w:p w14:paraId="6C41FE48" w14:textId="77777777" w:rsidR="00AA1F14" w:rsidRDefault="00AA1F14"/>
        </w:tc>
      </w:tr>
      <w:tr w:rsidR="00AA1F14" w14:paraId="3874F425" w14:textId="77777777" w:rsidTr="003E3AD8">
        <w:tc>
          <w:tcPr>
            <w:tcW w:w="1129" w:type="dxa"/>
            <w:shd w:val="clear" w:color="auto" w:fill="E2EFD9" w:themeFill="accent6" w:themeFillTint="33"/>
          </w:tcPr>
          <w:p w14:paraId="31B0322C" w14:textId="5262BF86" w:rsidR="00AA1F14" w:rsidRDefault="00AA1F14">
            <w:r>
              <w:rPr>
                <w:rFonts w:hint="eastAsia"/>
              </w:rPr>
              <w:t>事項</w:t>
            </w:r>
            <w:r w:rsidR="00BD2725">
              <w:rPr>
                <w:rFonts w:hint="eastAsia"/>
              </w:rPr>
              <w:t>2</w:t>
            </w:r>
          </w:p>
        </w:tc>
        <w:tc>
          <w:tcPr>
            <w:tcW w:w="9065" w:type="dxa"/>
            <w:shd w:val="clear" w:color="auto" w:fill="E2EFD9" w:themeFill="accent6" w:themeFillTint="33"/>
          </w:tcPr>
          <w:p w14:paraId="4F818FC2" w14:textId="77777777" w:rsidR="00AA1F14" w:rsidRDefault="00AA1F14"/>
        </w:tc>
      </w:tr>
      <w:tr w:rsidR="00AA1F14" w14:paraId="2F8EF8A1" w14:textId="77777777" w:rsidTr="003E3AD8">
        <w:tc>
          <w:tcPr>
            <w:tcW w:w="1129" w:type="dxa"/>
          </w:tcPr>
          <w:p w14:paraId="79C71424" w14:textId="4527FA80" w:rsidR="00AA1F14" w:rsidRDefault="00AA1F14">
            <w:r>
              <w:rPr>
                <w:rFonts w:hint="eastAsia"/>
              </w:rPr>
              <w:t>対応</w:t>
            </w:r>
            <w:r w:rsidR="00BD2725">
              <w:rPr>
                <w:rFonts w:hint="eastAsia"/>
              </w:rPr>
              <w:t>2</w:t>
            </w:r>
          </w:p>
        </w:tc>
        <w:tc>
          <w:tcPr>
            <w:tcW w:w="9065" w:type="dxa"/>
          </w:tcPr>
          <w:p w14:paraId="655CAE13" w14:textId="77777777" w:rsidR="00AA1F14" w:rsidRDefault="00AA1F14"/>
        </w:tc>
      </w:tr>
      <w:tr w:rsidR="00AA1F14" w14:paraId="6198A24C" w14:textId="77777777" w:rsidTr="003E3AD8">
        <w:tc>
          <w:tcPr>
            <w:tcW w:w="1129" w:type="dxa"/>
            <w:shd w:val="clear" w:color="auto" w:fill="E2EFD9" w:themeFill="accent6" w:themeFillTint="33"/>
          </w:tcPr>
          <w:p w14:paraId="1AE4F748" w14:textId="0B07C29F" w:rsidR="00AA1F14" w:rsidRDefault="00AA1F14">
            <w:r>
              <w:rPr>
                <w:rFonts w:hint="eastAsia"/>
              </w:rPr>
              <w:t>事項</w:t>
            </w:r>
            <w:r w:rsidR="00BD2725">
              <w:rPr>
                <w:rFonts w:hint="eastAsia"/>
              </w:rPr>
              <w:t>3</w:t>
            </w:r>
          </w:p>
        </w:tc>
        <w:tc>
          <w:tcPr>
            <w:tcW w:w="9065" w:type="dxa"/>
            <w:shd w:val="clear" w:color="auto" w:fill="E2EFD9" w:themeFill="accent6" w:themeFillTint="33"/>
          </w:tcPr>
          <w:p w14:paraId="5CEF40DF" w14:textId="77777777" w:rsidR="00AA1F14" w:rsidRDefault="00AA1F14"/>
        </w:tc>
      </w:tr>
      <w:tr w:rsidR="00AA1F14" w14:paraId="2DC7438C" w14:textId="77777777" w:rsidTr="003E3AD8">
        <w:tc>
          <w:tcPr>
            <w:tcW w:w="1129" w:type="dxa"/>
          </w:tcPr>
          <w:p w14:paraId="37971E0B" w14:textId="030FC5D9" w:rsidR="00AA1F14" w:rsidRDefault="00AA1F14">
            <w:r>
              <w:rPr>
                <w:rFonts w:hint="eastAsia"/>
              </w:rPr>
              <w:t>対応</w:t>
            </w:r>
            <w:r w:rsidR="00BD2725">
              <w:rPr>
                <w:rFonts w:hint="eastAsia"/>
              </w:rPr>
              <w:t>3</w:t>
            </w:r>
          </w:p>
        </w:tc>
        <w:tc>
          <w:tcPr>
            <w:tcW w:w="9065" w:type="dxa"/>
          </w:tcPr>
          <w:p w14:paraId="3B685D12" w14:textId="77777777" w:rsidR="00AA1F14" w:rsidRDefault="00AA1F14"/>
        </w:tc>
      </w:tr>
      <w:tr w:rsidR="00AA1F14" w14:paraId="4FC61E3C" w14:textId="77777777" w:rsidTr="003E3AD8">
        <w:tc>
          <w:tcPr>
            <w:tcW w:w="1129" w:type="dxa"/>
            <w:shd w:val="clear" w:color="auto" w:fill="E2EFD9" w:themeFill="accent6" w:themeFillTint="33"/>
          </w:tcPr>
          <w:p w14:paraId="50771AB0" w14:textId="3663DBFD" w:rsidR="00AA1F14" w:rsidRDefault="00AA1F14">
            <w:r>
              <w:rPr>
                <w:rFonts w:hint="eastAsia"/>
              </w:rPr>
              <w:t>事項</w:t>
            </w:r>
            <w:r w:rsidR="00BD2725">
              <w:rPr>
                <w:rFonts w:hint="eastAsia"/>
              </w:rPr>
              <w:t>4</w:t>
            </w:r>
          </w:p>
        </w:tc>
        <w:tc>
          <w:tcPr>
            <w:tcW w:w="9065" w:type="dxa"/>
            <w:shd w:val="clear" w:color="auto" w:fill="E2EFD9" w:themeFill="accent6" w:themeFillTint="33"/>
          </w:tcPr>
          <w:p w14:paraId="0447C10F" w14:textId="77777777" w:rsidR="00AA1F14" w:rsidRDefault="00AA1F14"/>
        </w:tc>
      </w:tr>
      <w:tr w:rsidR="00AA1F14" w14:paraId="53C389F5" w14:textId="77777777" w:rsidTr="003E3AD8">
        <w:tc>
          <w:tcPr>
            <w:tcW w:w="1129" w:type="dxa"/>
          </w:tcPr>
          <w:p w14:paraId="7E82D011" w14:textId="560FF387" w:rsidR="00AA1F14" w:rsidRDefault="00AA1F14">
            <w:r>
              <w:rPr>
                <w:rFonts w:hint="eastAsia"/>
              </w:rPr>
              <w:t>対応</w:t>
            </w:r>
            <w:r w:rsidR="00BD2725">
              <w:rPr>
                <w:rFonts w:hint="eastAsia"/>
              </w:rPr>
              <w:t>4</w:t>
            </w:r>
          </w:p>
        </w:tc>
        <w:tc>
          <w:tcPr>
            <w:tcW w:w="9065" w:type="dxa"/>
          </w:tcPr>
          <w:p w14:paraId="7B750812" w14:textId="77777777" w:rsidR="00AA1F14" w:rsidRDefault="00AA1F14"/>
        </w:tc>
      </w:tr>
    </w:tbl>
    <w:p w14:paraId="301CD23E" w14:textId="77777777" w:rsidR="009236F0" w:rsidRDefault="009236F0"/>
    <w:sectPr w:rsidR="009236F0" w:rsidSect="00AA1F14">
      <w:pgSz w:w="11906" w:h="16838"/>
      <w:pgMar w:top="851" w:right="851" w:bottom="851"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247C50"/>
    <w:rsid w:val="003E3AD8"/>
    <w:rsid w:val="00465712"/>
    <w:rsid w:val="005A4829"/>
    <w:rsid w:val="00602654"/>
    <w:rsid w:val="00842DB1"/>
    <w:rsid w:val="009236F0"/>
    <w:rsid w:val="00A42886"/>
    <w:rsid w:val="00AA1F14"/>
    <w:rsid w:val="00BD2725"/>
    <w:rsid w:val="00CD2289"/>
    <w:rsid w:val="00D02A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151</Words>
  <Characters>867</Characters>
  <Application>Microsoft Office Word</Application>
  <DocSecurity>0</DocSecurity>
  <Lines>7</Lines>
  <Paragraphs>2</Paragraphs>
  <ScaleCrop>false</ScaleCrop>
  <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user</cp:lastModifiedBy>
  <cp:revision>7</cp:revision>
  <dcterms:created xsi:type="dcterms:W3CDTF">2018-09-17T11:23:00Z</dcterms:created>
  <dcterms:modified xsi:type="dcterms:W3CDTF">2024-08-02T08:37:00Z</dcterms:modified>
</cp:coreProperties>
</file>